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49E7" w14:textId="3B9AA776" w:rsidR="00433C37" w:rsidRDefault="000C4E1E" w:rsidP="000C4E1E">
      <w:pPr>
        <w:jc w:val="center"/>
      </w:pPr>
      <w:r>
        <w:rPr>
          <w:noProof/>
        </w:rPr>
        <w:drawing>
          <wp:inline distT="0" distB="0" distL="0" distR="0" wp14:anchorId="66E1E1D5" wp14:editId="5B4C609B">
            <wp:extent cx="1752600" cy="609600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main with arb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28" cy="60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731D5" w14:textId="615F3F95" w:rsidR="000C4E1E" w:rsidRDefault="006D6533" w:rsidP="00014141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WMAS ANNUAL NOVICES </w:t>
      </w:r>
      <w:r w:rsidR="000C4E1E" w:rsidRPr="000C4E1E">
        <w:rPr>
          <w:b/>
          <w:sz w:val="32"/>
          <w:szCs w:val="32"/>
        </w:rPr>
        <w:t xml:space="preserve"> TOURNAMENT, S</w:t>
      </w:r>
      <w:r w:rsidR="00BE7C7E">
        <w:rPr>
          <w:b/>
          <w:sz w:val="32"/>
          <w:szCs w:val="32"/>
        </w:rPr>
        <w:t>UNDA</w:t>
      </w:r>
      <w:r w:rsidR="000C4E1E" w:rsidRPr="000C4E1E">
        <w:rPr>
          <w:b/>
          <w:sz w:val="32"/>
          <w:szCs w:val="32"/>
        </w:rPr>
        <w:t>Y 2</w:t>
      </w:r>
      <w:r w:rsidR="00BE7C7E">
        <w:rPr>
          <w:b/>
          <w:sz w:val="32"/>
          <w:szCs w:val="32"/>
        </w:rPr>
        <w:t>8</w:t>
      </w:r>
      <w:r w:rsidR="000C4E1E" w:rsidRPr="000C4E1E">
        <w:rPr>
          <w:b/>
          <w:sz w:val="32"/>
          <w:szCs w:val="32"/>
          <w:vertAlign w:val="superscript"/>
        </w:rPr>
        <w:t>TH</w:t>
      </w:r>
      <w:r w:rsidR="000C4E1E" w:rsidRPr="000C4E1E">
        <w:rPr>
          <w:b/>
          <w:sz w:val="32"/>
          <w:szCs w:val="32"/>
        </w:rPr>
        <w:t xml:space="preserve"> AUGUST 20</w:t>
      </w:r>
      <w:r w:rsidR="00006962">
        <w:rPr>
          <w:b/>
          <w:sz w:val="32"/>
          <w:szCs w:val="32"/>
        </w:rPr>
        <w:t>2</w:t>
      </w:r>
      <w:r w:rsidR="000A051A">
        <w:rPr>
          <w:b/>
          <w:sz w:val="32"/>
          <w:szCs w:val="32"/>
        </w:rPr>
        <w:t>2</w:t>
      </w:r>
    </w:p>
    <w:p w14:paraId="6CD37000" w14:textId="252C0294" w:rsidR="000C4E1E" w:rsidRPr="000C4E1E" w:rsidRDefault="000C4E1E" w:rsidP="0001414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C4E1E">
        <w:rPr>
          <w:b/>
          <w:sz w:val="28"/>
          <w:szCs w:val="28"/>
        </w:rPr>
        <w:t>Windsor, Short Windsor, Junior &amp; Short Junior Windsor Rounds</w:t>
      </w:r>
    </w:p>
    <w:p w14:paraId="508F9B77" w14:textId="77777777" w:rsidR="00014141" w:rsidRDefault="000C4E1E" w:rsidP="0001414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opens: 10.00     Assembly:  10.45   Sighters:  11.00</w:t>
      </w:r>
    </w:p>
    <w:p w14:paraId="1162E34C" w14:textId="40C13EB6" w:rsidR="000C4E1E" w:rsidRDefault="000C4E1E" w:rsidP="0001414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Equipment inspection will be carried out</w:t>
      </w:r>
    </w:p>
    <w:p w14:paraId="1EC5FF51" w14:textId="766D2EF4" w:rsidR="000C4E1E" w:rsidRPr="004F51EB" w:rsidRDefault="000C4E1E" w:rsidP="000C4E1E">
      <w:pPr>
        <w:spacing w:line="240" w:lineRule="auto"/>
        <w:jc w:val="center"/>
        <w:rPr>
          <w:sz w:val="28"/>
          <w:szCs w:val="28"/>
        </w:rPr>
      </w:pPr>
      <w:r w:rsidRPr="004F51EB">
        <w:rPr>
          <w:sz w:val="28"/>
          <w:szCs w:val="28"/>
        </w:rPr>
        <w:t xml:space="preserve">Judges:  </w:t>
      </w:r>
      <w:r w:rsidR="00BE7C7E">
        <w:rPr>
          <w:sz w:val="28"/>
          <w:szCs w:val="28"/>
        </w:rPr>
        <w:t xml:space="preserve"> TBC                                                            </w:t>
      </w:r>
      <w:r w:rsidRPr="004F51EB">
        <w:rPr>
          <w:sz w:val="28"/>
          <w:szCs w:val="28"/>
        </w:rPr>
        <w:t>L</w:t>
      </w:r>
      <w:r w:rsidR="00E01F92">
        <w:rPr>
          <w:sz w:val="28"/>
          <w:szCs w:val="28"/>
        </w:rPr>
        <w:t>ord</w:t>
      </w:r>
      <w:r w:rsidR="00121BE3">
        <w:rPr>
          <w:sz w:val="28"/>
          <w:szCs w:val="28"/>
        </w:rPr>
        <w:t>/Lady</w:t>
      </w:r>
      <w:r w:rsidRPr="004F51EB">
        <w:rPr>
          <w:sz w:val="28"/>
          <w:szCs w:val="28"/>
        </w:rPr>
        <w:t xml:space="preserve"> Paramount: TBC</w:t>
      </w:r>
    </w:p>
    <w:p w14:paraId="62D10FD8" w14:textId="7B81FB8C" w:rsidR="000C4E1E" w:rsidRPr="004F51EB" w:rsidRDefault="000C4E1E" w:rsidP="00014141">
      <w:pPr>
        <w:spacing w:line="240" w:lineRule="auto"/>
        <w:jc w:val="center"/>
        <w:rPr>
          <w:sz w:val="28"/>
          <w:szCs w:val="28"/>
        </w:rPr>
      </w:pPr>
      <w:r w:rsidRPr="004F51EB">
        <w:rPr>
          <w:sz w:val="28"/>
          <w:szCs w:val="28"/>
        </w:rPr>
        <w:t>Venue: Nuneaton Archers, Bedworth Road, Bulkington, Warks CV12 9JA</w:t>
      </w:r>
    </w:p>
    <w:p w14:paraId="449C13CF" w14:textId="37A3604E" w:rsidR="000C4E1E" w:rsidRPr="004F51EB" w:rsidRDefault="000C4E1E" w:rsidP="00014141">
      <w:pPr>
        <w:spacing w:line="240" w:lineRule="auto"/>
        <w:jc w:val="center"/>
        <w:rPr>
          <w:sz w:val="28"/>
          <w:szCs w:val="28"/>
        </w:rPr>
      </w:pPr>
      <w:r w:rsidRPr="004F51EB">
        <w:rPr>
          <w:sz w:val="28"/>
          <w:szCs w:val="28"/>
        </w:rPr>
        <w:t>Fee: Seniors £</w:t>
      </w:r>
      <w:r w:rsidR="00BE7C7E">
        <w:rPr>
          <w:sz w:val="28"/>
          <w:szCs w:val="28"/>
        </w:rPr>
        <w:t>8</w:t>
      </w:r>
      <w:r w:rsidRPr="004F51EB">
        <w:rPr>
          <w:sz w:val="28"/>
          <w:szCs w:val="28"/>
        </w:rPr>
        <w:t>.00  Juniors £</w:t>
      </w:r>
      <w:r w:rsidR="009030F1">
        <w:rPr>
          <w:sz w:val="28"/>
          <w:szCs w:val="28"/>
        </w:rPr>
        <w:t>6</w:t>
      </w:r>
      <w:r w:rsidRPr="004F51EB">
        <w:rPr>
          <w:sz w:val="28"/>
          <w:szCs w:val="28"/>
        </w:rPr>
        <w:t>.00</w:t>
      </w:r>
    </w:p>
    <w:p w14:paraId="4F57BB6F" w14:textId="31728C5C" w:rsidR="000C4E1E" w:rsidRPr="000C4E1E" w:rsidRDefault="000C4E1E" w:rsidP="000C4E1E">
      <w:pPr>
        <w:spacing w:line="240" w:lineRule="auto"/>
        <w:contextualSpacing/>
        <w:jc w:val="center"/>
        <w:rPr>
          <w:sz w:val="24"/>
          <w:szCs w:val="24"/>
        </w:rPr>
      </w:pPr>
      <w:r w:rsidRPr="000C4E1E">
        <w:rPr>
          <w:sz w:val="24"/>
          <w:szCs w:val="24"/>
        </w:rPr>
        <w:t>Cheques payable to ‘Nuneaton Archers (Seniors) or for online banking see info on next page</w:t>
      </w:r>
    </w:p>
    <w:p w14:paraId="127F7586" w14:textId="46C20D67" w:rsidR="000C4E1E" w:rsidRDefault="000C4E1E" w:rsidP="000C4E1E">
      <w:pPr>
        <w:spacing w:line="240" w:lineRule="auto"/>
        <w:contextualSpacing/>
        <w:jc w:val="center"/>
        <w:rPr>
          <w:sz w:val="24"/>
          <w:szCs w:val="24"/>
        </w:rPr>
      </w:pPr>
      <w:r w:rsidRPr="000C4E1E">
        <w:rPr>
          <w:sz w:val="24"/>
          <w:szCs w:val="24"/>
        </w:rPr>
        <w:t xml:space="preserve">Closing Date: August </w:t>
      </w:r>
      <w:r w:rsidR="000A051A">
        <w:rPr>
          <w:sz w:val="24"/>
          <w:szCs w:val="24"/>
        </w:rPr>
        <w:t>20</w:t>
      </w:r>
      <w:r w:rsidRPr="000C4E1E">
        <w:rPr>
          <w:sz w:val="24"/>
          <w:szCs w:val="24"/>
          <w:vertAlign w:val="superscript"/>
        </w:rPr>
        <w:t>th</w:t>
      </w:r>
      <w:r w:rsidRPr="000C4E1E">
        <w:rPr>
          <w:sz w:val="24"/>
          <w:szCs w:val="24"/>
        </w:rPr>
        <w:t xml:space="preserve"> 20</w:t>
      </w:r>
      <w:r w:rsidR="00006962">
        <w:rPr>
          <w:sz w:val="24"/>
          <w:szCs w:val="24"/>
        </w:rPr>
        <w:t>2</w:t>
      </w:r>
      <w:r w:rsidR="000A051A">
        <w:rPr>
          <w:sz w:val="24"/>
          <w:szCs w:val="24"/>
        </w:rPr>
        <w:t>2</w:t>
      </w:r>
      <w:r w:rsidRPr="000C4E1E">
        <w:rPr>
          <w:sz w:val="24"/>
          <w:szCs w:val="24"/>
        </w:rPr>
        <w:t xml:space="preserve"> or when full (fee </w:t>
      </w:r>
      <w:r w:rsidR="00FF1CFA" w:rsidRPr="000C4E1E">
        <w:rPr>
          <w:sz w:val="24"/>
          <w:szCs w:val="24"/>
        </w:rPr>
        <w:t>non-refundable</w:t>
      </w:r>
      <w:r w:rsidRPr="000C4E1E">
        <w:rPr>
          <w:sz w:val="24"/>
          <w:szCs w:val="24"/>
        </w:rPr>
        <w:t xml:space="preserve"> after this date.) Late entries subject to availability</w:t>
      </w:r>
    </w:p>
    <w:p w14:paraId="6070BA27" w14:textId="5FA25311" w:rsidR="004F51EB" w:rsidRDefault="004F51EB" w:rsidP="000C4E1E">
      <w:pPr>
        <w:spacing w:line="240" w:lineRule="auto"/>
        <w:contextualSpacing/>
        <w:jc w:val="center"/>
        <w:rPr>
          <w:sz w:val="24"/>
          <w:szCs w:val="24"/>
        </w:rPr>
      </w:pPr>
    </w:p>
    <w:p w14:paraId="71599867" w14:textId="478F9493" w:rsidR="004F51EB" w:rsidRDefault="004F51EB" w:rsidP="000C4E1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Target list will be sent by email and posted on </w:t>
      </w:r>
      <w:r w:rsidRPr="00014141">
        <w:rPr>
          <w:sz w:val="24"/>
          <w:szCs w:val="24"/>
        </w:rPr>
        <w:t>www.nuneatonarchers.co.uk</w:t>
      </w:r>
    </w:p>
    <w:p w14:paraId="55AD1A7B" w14:textId="57E6CF2B" w:rsidR="004F51EB" w:rsidRDefault="004F51EB" w:rsidP="0000696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Entries to: Tournament Organiser, </w:t>
      </w:r>
      <w:r w:rsidR="00BE7C7E">
        <w:rPr>
          <w:sz w:val="24"/>
          <w:szCs w:val="24"/>
        </w:rPr>
        <w:t>Mr Craig Stobie</w:t>
      </w:r>
      <w:r w:rsidR="00006962">
        <w:rPr>
          <w:sz w:val="24"/>
          <w:szCs w:val="24"/>
        </w:rPr>
        <w:t xml:space="preserve">, </w:t>
      </w:r>
      <w:r w:rsidR="005B0E6E">
        <w:rPr>
          <w:sz w:val="24"/>
          <w:szCs w:val="24"/>
        </w:rPr>
        <w:t>30 Purcell Avenue, Nuneaton, Warks CV11 4SE</w:t>
      </w:r>
    </w:p>
    <w:p w14:paraId="4CA684E7" w14:textId="7AD075FF" w:rsidR="005B0E6E" w:rsidRDefault="005B0E6E" w:rsidP="0000696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Email: stobes@live.co.uk</w:t>
      </w:r>
    </w:p>
    <w:p w14:paraId="52D805EB" w14:textId="09BBA048" w:rsidR="004F51EB" w:rsidRDefault="004F51EB" w:rsidP="000C4E1E">
      <w:pPr>
        <w:spacing w:line="240" w:lineRule="auto"/>
        <w:contextualSpacing/>
        <w:jc w:val="center"/>
        <w:rPr>
          <w:sz w:val="24"/>
          <w:szCs w:val="24"/>
        </w:rPr>
      </w:pPr>
    </w:p>
    <w:p w14:paraId="7E009D1B" w14:textId="06D9C3C8" w:rsidR="004F51EB" w:rsidRDefault="004F51EB" w:rsidP="000C4E1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Refreshments will be available throughout the day.</w:t>
      </w:r>
    </w:p>
    <w:p w14:paraId="61145410" w14:textId="5591B03D" w:rsidR="004F51EB" w:rsidRDefault="004F51EB" w:rsidP="004F51E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Archers must be affiliated to Archery GB or World Archery Member Association as they will be asked to produce their membership cards</w:t>
      </w:r>
    </w:p>
    <w:p w14:paraId="5122F9B0" w14:textId="11B2062B" w:rsidR="004F51EB" w:rsidRDefault="004F51EB" w:rsidP="004F51E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Prizes according to number of entries per category</w:t>
      </w:r>
    </w:p>
    <w:p w14:paraId="400B99DF" w14:textId="708F0FDF" w:rsidR="004F51EB" w:rsidRDefault="004F51EB" w:rsidP="004F51E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One end of sighters will be shot at the start of the first distance.</w:t>
      </w:r>
    </w:p>
    <w:p w14:paraId="3B60C69D" w14:textId="03F82DB6" w:rsidR="004F51EB" w:rsidRDefault="004F51EB" w:rsidP="004F51E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Shooting will consist of a maximum of four archers per shooting in two details, timed ends of 6 arrows in 4 minutes</w:t>
      </w:r>
    </w:p>
    <w:p w14:paraId="62FE58E3" w14:textId="662C3157" w:rsidR="004F51EB" w:rsidRDefault="004F51EB" w:rsidP="004F51E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Archery GB dress regulations rule:307 will apply</w:t>
      </w:r>
    </w:p>
    <w:p w14:paraId="486DBF6E" w14:textId="5D7D8174" w:rsidR="004F51EB" w:rsidRDefault="004F51EB" w:rsidP="004F51E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Junior entry forms must be signed by a parent or guardian</w:t>
      </w:r>
    </w:p>
    <w:p w14:paraId="32DC2412" w14:textId="5C0A740E" w:rsidR="004F51EB" w:rsidRDefault="004F51EB" w:rsidP="004F51E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Nuneaton Archers cannot accept responsibility for loss or damage to equipment or personal possessions.</w:t>
      </w:r>
    </w:p>
    <w:p w14:paraId="18131D85" w14:textId="1C2313B2" w:rsidR="004F51EB" w:rsidRDefault="004F51EB" w:rsidP="004F51E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Anyone wishing to take photographs at this event must register with the Tournament Organiser on the day.</w:t>
      </w:r>
    </w:p>
    <w:p w14:paraId="08B75109" w14:textId="294FC4E8" w:rsidR="00014141" w:rsidRDefault="00014141" w:rsidP="00014141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14:paraId="3530660C" w14:textId="728655C4" w:rsidR="002E4487" w:rsidRDefault="00BE7C7E" w:rsidP="004979AA">
      <w:pPr>
        <w:spacing w:line="240" w:lineRule="auto"/>
        <w:ind w:left="360"/>
        <w:rPr>
          <w:noProof/>
        </w:rPr>
      </w:pPr>
      <w:r>
        <w:rPr>
          <w:noProof/>
        </w:rPr>
        <w:t xml:space="preserve">For the purpose of this competition a ‘Novice’ is someone </w:t>
      </w:r>
      <w:r w:rsidR="004979AA">
        <w:rPr>
          <w:noProof/>
        </w:rPr>
        <w:t xml:space="preserve"> that joined Archery GB after </w:t>
      </w:r>
      <w:r>
        <w:rPr>
          <w:noProof/>
        </w:rPr>
        <w:t>1</w:t>
      </w:r>
      <w:r w:rsidRPr="00BE7C7E">
        <w:rPr>
          <w:noProof/>
          <w:vertAlign w:val="superscript"/>
        </w:rPr>
        <w:t>st</w:t>
      </w:r>
      <w:r>
        <w:rPr>
          <w:noProof/>
        </w:rPr>
        <w:t xml:space="preserve"> Janaury 2021.  Entries that do not qualify as a Novice may be accepted depending on boss availability.</w:t>
      </w:r>
    </w:p>
    <w:p w14:paraId="18011ECB" w14:textId="06A8B780" w:rsidR="004979AA" w:rsidRPr="004979AA" w:rsidRDefault="004979AA" w:rsidP="004979AA">
      <w:pPr>
        <w:spacing w:line="240" w:lineRule="auto"/>
        <w:ind w:left="360"/>
        <w:rPr>
          <w:noProof/>
        </w:rPr>
      </w:pPr>
      <w:r>
        <w:rPr>
          <w:noProof/>
        </w:rPr>
        <w:t xml:space="preserve">Medals according to entries.  Please add </w:t>
      </w:r>
      <w:r w:rsidR="00FD60CA">
        <w:rPr>
          <w:noProof/>
        </w:rPr>
        <w:t xml:space="preserve">date </w:t>
      </w:r>
      <w:r>
        <w:rPr>
          <w:noProof/>
        </w:rPr>
        <w:t xml:space="preserve">details to the </w:t>
      </w:r>
      <w:r w:rsidR="00FD60CA">
        <w:rPr>
          <w:noProof/>
        </w:rPr>
        <w:t>form below.</w:t>
      </w:r>
    </w:p>
    <w:p w14:paraId="08B267FC" w14:textId="7C146971" w:rsidR="004979AA" w:rsidRDefault="004979AA" w:rsidP="002E4487">
      <w:pPr>
        <w:spacing w:line="240" w:lineRule="auto"/>
        <w:ind w:left="360"/>
        <w:jc w:val="center"/>
        <w:rPr>
          <w:noProof/>
          <w:sz w:val="20"/>
          <w:szCs w:val="20"/>
        </w:rPr>
      </w:pPr>
    </w:p>
    <w:p w14:paraId="361E0245" w14:textId="77777777" w:rsidR="004979AA" w:rsidRDefault="004979AA" w:rsidP="002E4487">
      <w:pPr>
        <w:spacing w:line="240" w:lineRule="auto"/>
        <w:ind w:left="360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1"/>
        <w:gridCol w:w="1902"/>
        <w:gridCol w:w="1450"/>
        <w:gridCol w:w="993"/>
        <w:gridCol w:w="1491"/>
        <w:gridCol w:w="1576"/>
        <w:gridCol w:w="1282"/>
        <w:gridCol w:w="1638"/>
        <w:gridCol w:w="1015"/>
        <w:gridCol w:w="1105"/>
      </w:tblGrid>
      <w:tr w:rsidR="00BE7C7E" w14:paraId="1075F457" w14:textId="77777777" w:rsidTr="00B00905">
        <w:tc>
          <w:tcPr>
            <w:tcW w:w="621" w:type="dxa"/>
            <w:vAlign w:val="center"/>
          </w:tcPr>
          <w:p w14:paraId="128A6CC3" w14:textId="79A12648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902" w:type="dxa"/>
            <w:vAlign w:val="center"/>
          </w:tcPr>
          <w:p w14:paraId="637B3906" w14:textId="385D2CAC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450" w:type="dxa"/>
            <w:vAlign w:val="center"/>
          </w:tcPr>
          <w:p w14:paraId="09478043" w14:textId="592AB63C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  <w:tc>
          <w:tcPr>
            <w:tcW w:w="993" w:type="dxa"/>
            <w:vAlign w:val="center"/>
          </w:tcPr>
          <w:p w14:paraId="1ADBAEF3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Age</w:t>
            </w:r>
          </w:p>
          <w:p w14:paraId="17103F18" w14:textId="2C84C425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DOB</w:t>
            </w:r>
          </w:p>
        </w:tc>
        <w:tc>
          <w:tcPr>
            <w:tcW w:w="1491" w:type="dxa"/>
            <w:vAlign w:val="center"/>
          </w:tcPr>
          <w:p w14:paraId="74176648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 GB</w:t>
            </w:r>
          </w:p>
          <w:p w14:paraId="65512A66" w14:textId="50F84A90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Number</w:t>
            </w:r>
          </w:p>
        </w:tc>
        <w:tc>
          <w:tcPr>
            <w:tcW w:w="1576" w:type="dxa"/>
            <w:vAlign w:val="center"/>
          </w:tcPr>
          <w:p w14:paraId="025924C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Rec/Comp/</w:t>
            </w:r>
          </w:p>
          <w:p w14:paraId="6DE689F9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Longbow/Bbow/</w:t>
            </w:r>
          </w:p>
          <w:p w14:paraId="75D46B1C" w14:textId="673474AC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Xbow</w:t>
            </w:r>
          </w:p>
        </w:tc>
        <w:tc>
          <w:tcPr>
            <w:tcW w:w="1282" w:type="dxa"/>
            <w:vAlign w:val="center"/>
          </w:tcPr>
          <w:p w14:paraId="711E0C20" w14:textId="7E44C59C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wishing to enter</w:t>
            </w:r>
          </w:p>
        </w:tc>
        <w:tc>
          <w:tcPr>
            <w:tcW w:w="1638" w:type="dxa"/>
            <w:vAlign w:val="center"/>
          </w:tcPr>
          <w:p w14:paraId="28C42AAD" w14:textId="7D25A00B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Wheelchair/Stool</w:t>
            </w:r>
          </w:p>
        </w:tc>
        <w:tc>
          <w:tcPr>
            <w:tcW w:w="1015" w:type="dxa"/>
            <w:vAlign w:val="center"/>
          </w:tcPr>
          <w:p w14:paraId="08A5FCDA" w14:textId="2C28D134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</w:t>
            </w:r>
          </w:p>
        </w:tc>
        <w:tc>
          <w:tcPr>
            <w:tcW w:w="1105" w:type="dxa"/>
            <w:vAlign w:val="center"/>
          </w:tcPr>
          <w:p w14:paraId="7331099E" w14:textId="3B4AF72C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</w:t>
            </w:r>
          </w:p>
          <w:p w14:paraId="45F927BA" w14:textId="14BFB2E0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£8</w:t>
            </w:r>
          </w:p>
          <w:p w14:paraId="62E1EE0B" w14:textId="4883611A" w:rsidR="00BE7C7E" w:rsidRDefault="00BE7C7E" w:rsidP="002E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£6</w:t>
            </w:r>
          </w:p>
        </w:tc>
      </w:tr>
      <w:tr w:rsidR="00BE7C7E" w14:paraId="2C8171F6" w14:textId="77777777" w:rsidTr="00EA014B">
        <w:tc>
          <w:tcPr>
            <w:tcW w:w="621" w:type="dxa"/>
          </w:tcPr>
          <w:p w14:paraId="75598E78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  <w:p w14:paraId="182B6701" w14:textId="4DFCC68B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541B4A15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35F5F4BA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7BA4908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09079FF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41A4E70E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6E40DF7F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49CB078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0CEC40E0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5E8196C2" w14:textId="53EF756D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</w:tr>
      <w:tr w:rsidR="00BE7C7E" w14:paraId="592C6612" w14:textId="77777777" w:rsidTr="00007BBE">
        <w:tc>
          <w:tcPr>
            <w:tcW w:w="621" w:type="dxa"/>
          </w:tcPr>
          <w:p w14:paraId="42E344B3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  <w:p w14:paraId="7CFDA9E7" w14:textId="07BB98D8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2A6C0452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0CEE8BF1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67B6156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651F057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007E1A1E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00BCA295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5FB5CBA6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5C529A5F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67F911CA" w14:textId="781143EA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</w:tr>
      <w:tr w:rsidR="00BE7C7E" w14:paraId="44015932" w14:textId="77777777" w:rsidTr="0044260E">
        <w:tc>
          <w:tcPr>
            <w:tcW w:w="621" w:type="dxa"/>
          </w:tcPr>
          <w:p w14:paraId="662E5189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  <w:p w14:paraId="1754ABC4" w14:textId="23CF63A4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264E2EE9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206A56AC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8BB68A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CE68C7F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43A8BF1A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3BB80F8E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1F397C86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B6AF485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51339C55" w14:textId="25BEE3AD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</w:tr>
      <w:tr w:rsidR="00BE7C7E" w14:paraId="62D44A84" w14:textId="77777777" w:rsidTr="00023A7B">
        <w:tc>
          <w:tcPr>
            <w:tcW w:w="621" w:type="dxa"/>
          </w:tcPr>
          <w:p w14:paraId="45E92770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  <w:p w14:paraId="02C7B7B9" w14:textId="19FACF23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42DFDE8B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21694607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B0489E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BDEB99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1A8236FD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108441AF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3CD88BC6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5A77036B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2CB0D91" w14:textId="4E46C93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</w:tr>
      <w:tr w:rsidR="00BE7C7E" w14:paraId="403BDEBD" w14:textId="77777777" w:rsidTr="00A96344">
        <w:tc>
          <w:tcPr>
            <w:tcW w:w="621" w:type="dxa"/>
          </w:tcPr>
          <w:p w14:paraId="7B275610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  <w:p w14:paraId="053B97CD" w14:textId="1C9AD698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5A3B51E3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30C15712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4360CB5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89233F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0BDFD3F6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4D34050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5756FC87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3F229B1D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DA579BC" w14:textId="7F66D8A3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</w:tr>
      <w:tr w:rsidR="00BE7C7E" w14:paraId="1067652C" w14:textId="77777777" w:rsidTr="00925385">
        <w:tc>
          <w:tcPr>
            <w:tcW w:w="621" w:type="dxa"/>
          </w:tcPr>
          <w:p w14:paraId="1F1B9FEC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  <w:p w14:paraId="53DCD066" w14:textId="2F1DA3A4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5933CDCB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336ABE70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18926D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6B61ADE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53318420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DA6926C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6A4C080F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01DE0497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3D62BFDD" w14:textId="4DC2DB38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</w:tr>
      <w:tr w:rsidR="00BE7C7E" w14:paraId="17B06F5C" w14:textId="77777777" w:rsidTr="00C3198A">
        <w:tc>
          <w:tcPr>
            <w:tcW w:w="621" w:type="dxa"/>
          </w:tcPr>
          <w:p w14:paraId="153FD273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  <w:p w14:paraId="69A0F1F8" w14:textId="01D2F64E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5E6F9EA5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7B25FAD3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B147D8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C201D5F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5713BF6B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BA35A0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34C125BE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0D1BF2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399EAF1B" w14:textId="7A1DE811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</w:tr>
      <w:tr w:rsidR="00BE7C7E" w14:paraId="27B8D28E" w14:textId="77777777" w:rsidTr="00E1007B">
        <w:tc>
          <w:tcPr>
            <w:tcW w:w="621" w:type="dxa"/>
          </w:tcPr>
          <w:p w14:paraId="5745752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  <w:p w14:paraId="7125AD37" w14:textId="787262CE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4D73017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500B9D53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89F5F5A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519F69B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10167C4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49A9FC0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193611F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4A5B71B7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31265C89" w14:textId="19AA43A0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</w:tr>
      <w:tr w:rsidR="00BE7C7E" w14:paraId="76FAE4CB" w14:textId="77777777" w:rsidTr="00553629">
        <w:tc>
          <w:tcPr>
            <w:tcW w:w="621" w:type="dxa"/>
          </w:tcPr>
          <w:p w14:paraId="2BCE4EC0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  <w:p w14:paraId="5C16444E" w14:textId="122836E3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5D473927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10687EB0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3D0E089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F429CE5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4989CEB7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46CC0DEF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1D3F604B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235DE840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64A3B245" w14:textId="10FD2923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</w:tr>
      <w:tr w:rsidR="00BE7C7E" w14:paraId="6B005C28" w14:textId="77777777" w:rsidTr="003E63BA">
        <w:tc>
          <w:tcPr>
            <w:tcW w:w="621" w:type="dxa"/>
          </w:tcPr>
          <w:p w14:paraId="29EF8E66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  <w:p w14:paraId="33CAA230" w14:textId="07DC4FD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7FBCD790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0AA69E23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0D4AB4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9F7B8C0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0F778408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7710D80E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5C3D9748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41E18B49" w14:textId="77777777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04A9391A" w14:textId="23F998B9" w:rsidR="00BE7C7E" w:rsidRDefault="00BE7C7E" w:rsidP="002E448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915AA6" w14:textId="3CF29D36" w:rsidR="002E4487" w:rsidRDefault="002E4487" w:rsidP="002E4487">
      <w:pPr>
        <w:spacing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Rounds as follows: Windsor for senior Ladies and Gents, Short Windsor for Junior </w:t>
      </w:r>
      <w:r w:rsidR="00FB5278">
        <w:rPr>
          <w:sz w:val="20"/>
          <w:szCs w:val="20"/>
        </w:rPr>
        <w:t>ladie</w:t>
      </w:r>
      <w:r>
        <w:rPr>
          <w:sz w:val="20"/>
          <w:szCs w:val="20"/>
        </w:rPr>
        <w:t xml:space="preserve">s under </w:t>
      </w:r>
      <w:r w:rsidR="00FB5278">
        <w:rPr>
          <w:sz w:val="20"/>
          <w:szCs w:val="20"/>
        </w:rPr>
        <w:t>18 and junior gents under 16, Junior Windsor for Junior Ladies under 16 and Junior Gents under 14, Short Junior Windsor for Junior Ladies under 14 and Junior Gents under 12</w:t>
      </w:r>
      <w:r w:rsidR="00FF1CFA">
        <w:rPr>
          <w:sz w:val="20"/>
          <w:szCs w:val="20"/>
        </w:rPr>
        <w:t>. Ages relate to age on day of competition</w:t>
      </w:r>
    </w:p>
    <w:p w14:paraId="745ABE84" w14:textId="6E581EF3" w:rsidR="00FB5278" w:rsidRDefault="00FB5278" w:rsidP="002E4487">
      <w:pPr>
        <w:spacing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Entries into ‘shorter’ categories will be allowed if space allows but entering MAY not be eligible for trophies and medals</w:t>
      </w:r>
    </w:p>
    <w:p w14:paraId="45A850A1" w14:textId="22D5E607" w:rsidR="00FB5278" w:rsidRDefault="00FB5278" w:rsidP="00FB5278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Name:………………………………………………………………………………….                                                                      Tel no:……………………………………………………………………………………..</w:t>
      </w:r>
    </w:p>
    <w:p w14:paraId="02E652E5" w14:textId="7EFA636E" w:rsidR="00FB5278" w:rsidRDefault="00FB5278" w:rsidP="00FB5278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Address:………………………………………………………………………………</w:t>
      </w:r>
      <w:r w:rsidR="007A0117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Parent of Guardian of Junior:…………………………………………………….</w:t>
      </w:r>
    </w:p>
    <w:p w14:paraId="66C56B25" w14:textId="311F012D" w:rsidR="007A0117" w:rsidRDefault="007A0117" w:rsidP="00FB5278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14:paraId="72A171D2" w14:textId="0FC003C0" w:rsidR="00FB5278" w:rsidRDefault="00FB5278" w:rsidP="007A0117">
      <w:pPr>
        <w:spacing w:line="240" w:lineRule="auto"/>
        <w:ind w:left="35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Email:………………………………………………………………………………….                                           </w:t>
      </w:r>
      <w:r w:rsidR="007A011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Online Payment:  Ref – </w:t>
      </w:r>
      <w:r w:rsidR="00BE7C7E">
        <w:rPr>
          <w:sz w:val="20"/>
          <w:szCs w:val="20"/>
        </w:rPr>
        <w:t xml:space="preserve">WMAS </w:t>
      </w:r>
      <w:r>
        <w:rPr>
          <w:sz w:val="20"/>
          <w:szCs w:val="20"/>
        </w:rPr>
        <w:t>Windsor 20</w:t>
      </w:r>
      <w:r w:rsidR="00F81DA0">
        <w:rPr>
          <w:sz w:val="20"/>
          <w:szCs w:val="20"/>
        </w:rPr>
        <w:t>2</w:t>
      </w:r>
      <w:r w:rsidR="000A051A">
        <w:rPr>
          <w:sz w:val="20"/>
          <w:szCs w:val="20"/>
        </w:rPr>
        <w:t>2</w:t>
      </w:r>
    </w:p>
    <w:p w14:paraId="26F2AC55" w14:textId="17AD14C2" w:rsidR="00FB5278" w:rsidRDefault="00FB5278" w:rsidP="007A0117">
      <w:pPr>
        <w:spacing w:line="240" w:lineRule="auto"/>
        <w:ind w:left="35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Account name:- Nuneaton Archers (seniors)  Sort Code:- 08 92 99</w:t>
      </w:r>
    </w:p>
    <w:p w14:paraId="66021D35" w14:textId="5E7D5A21" w:rsidR="007A0117" w:rsidRPr="00014141" w:rsidRDefault="007A0117" w:rsidP="007A0117">
      <w:pPr>
        <w:spacing w:line="240" w:lineRule="auto"/>
        <w:ind w:left="35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Account Number:- 65737680</w:t>
      </w:r>
    </w:p>
    <w:sectPr w:rsidR="007A0117" w:rsidRPr="00014141" w:rsidSect="00FB5278">
      <w:pgSz w:w="16838" w:h="11906" w:orient="landscape"/>
      <w:pgMar w:top="567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09CE"/>
    <w:multiLevelType w:val="hybridMultilevel"/>
    <w:tmpl w:val="92986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1E"/>
    <w:rsid w:val="00006962"/>
    <w:rsid w:val="00014141"/>
    <w:rsid w:val="000A051A"/>
    <w:rsid w:val="000A7FF0"/>
    <w:rsid w:val="000C4E1E"/>
    <w:rsid w:val="00121BE3"/>
    <w:rsid w:val="002E4487"/>
    <w:rsid w:val="002E7A20"/>
    <w:rsid w:val="003C4CAE"/>
    <w:rsid w:val="00433C37"/>
    <w:rsid w:val="004979AA"/>
    <w:rsid w:val="004F51EB"/>
    <w:rsid w:val="00547F45"/>
    <w:rsid w:val="005B0E6E"/>
    <w:rsid w:val="005C3EC1"/>
    <w:rsid w:val="006D6533"/>
    <w:rsid w:val="007A0117"/>
    <w:rsid w:val="009030F1"/>
    <w:rsid w:val="00B479B8"/>
    <w:rsid w:val="00BE7C7E"/>
    <w:rsid w:val="00D85B77"/>
    <w:rsid w:val="00E01F92"/>
    <w:rsid w:val="00F81DA0"/>
    <w:rsid w:val="00FB5278"/>
    <w:rsid w:val="00FD60CA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3F68"/>
  <w15:chartTrackingRefBased/>
  <w15:docId w15:val="{79332138-4F22-498F-8F4C-9D9DDBD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1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51EB"/>
    <w:pPr>
      <w:ind w:left="720"/>
      <w:contextualSpacing/>
    </w:pPr>
  </w:style>
  <w:style w:type="table" w:styleId="TableGrid">
    <w:name w:val="Table Grid"/>
    <w:basedOn w:val="TableNormal"/>
    <w:uiPriority w:val="59"/>
    <w:rsid w:val="002E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Geoff's</dc:creator>
  <cp:keywords/>
  <dc:description/>
  <cp:lastModifiedBy>Geoff Beston</cp:lastModifiedBy>
  <cp:revision>2</cp:revision>
  <cp:lastPrinted>2021-03-12T15:46:00Z</cp:lastPrinted>
  <dcterms:created xsi:type="dcterms:W3CDTF">2022-06-04T16:52:00Z</dcterms:created>
  <dcterms:modified xsi:type="dcterms:W3CDTF">2022-06-04T16:52:00Z</dcterms:modified>
</cp:coreProperties>
</file>